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06D9" w:rsidRPr="00F506D9" w:rsidRDefault="00F506D9" w:rsidP="00D412F2">
      <w:pPr>
        <w:spacing w:line="240" w:lineRule="auto"/>
        <w:jc w:val="both"/>
        <w:rPr>
          <w:rFonts w:ascii="Times New Roman" w:hAnsi="Times New Roman" w:cs="Times New Roman"/>
          <w:i/>
          <w:spacing w:val="-1"/>
          <w:position w:val="10"/>
          <w:sz w:val="24"/>
          <w:szCs w:val="24"/>
          <w:u w:val="single"/>
          <w:lang w:val="en-US"/>
        </w:rPr>
      </w:pPr>
      <w:bookmarkStart w:id="0" w:name="_GoBack"/>
      <w:bookmarkEnd w:id="0"/>
      <w:r w:rsidRPr="00F506D9">
        <w:rPr>
          <w:rFonts w:ascii="Times New Roman" w:hAnsi="Times New Roman" w:cs="Times New Roman"/>
          <w:i/>
          <w:spacing w:val="-1"/>
          <w:position w:val="10"/>
          <w:sz w:val="24"/>
          <w:szCs w:val="24"/>
          <w:u w:val="single"/>
          <w:lang w:val="en-US"/>
        </w:rPr>
        <w:t>Dimitrios Ktenas, ESR 12</w:t>
      </w:r>
    </w:p>
    <w:p w:rsidR="008C2AFA" w:rsidRPr="008C2AFA" w:rsidRDefault="00C37303" w:rsidP="00D412F2">
      <w:pPr>
        <w:spacing w:line="240" w:lineRule="auto"/>
        <w:jc w:val="both"/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</w:pPr>
      <w:r w:rsidRPr="00473D2C"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  <w:t xml:space="preserve">On the Norwegian Continental </w:t>
      </w:r>
      <w:r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  <w:t>Shelf (NCS), the w</w:t>
      </w:r>
      <w:r w:rsidR="001D7D2A"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  <w:t>estern Barents Sea m</w:t>
      </w:r>
      <w:r w:rsidRPr="00473D2C"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  <w:t>argin is generally ice</w:t>
      </w:r>
      <w:r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  <w:t>-</w:t>
      </w:r>
      <w:r w:rsidRPr="00473D2C"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  <w:t xml:space="preserve"> free and </w:t>
      </w:r>
      <w:r w:rsidR="001D7D2A"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  <w:t>more accessible than any other a</w:t>
      </w:r>
      <w:r w:rsidRPr="00473D2C"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  <w:t>rc</w:t>
      </w:r>
      <w:r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  <w:t>tic region, and is also a frontier area</w:t>
      </w:r>
      <w:r w:rsidRPr="00473D2C"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  <w:t>for hydrocarbon explora</w:t>
      </w:r>
      <w:r w:rsidRPr="008C2AFA"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  <w:t>tion. During the Mesozoic and Cenozoic, most of the areas of the Barents Sea were subjected to several</w:t>
      </w:r>
      <w:r w:rsidR="008C2AFA" w:rsidRPr="008C2AFA"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  <w:t xml:space="preserve"> episodes of uplift and erosion. </w:t>
      </w:r>
    </w:p>
    <w:p w:rsidR="00ED2AD1" w:rsidRDefault="00ED2AD1" w:rsidP="00D412F2">
      <w:pPr>
        <w:spacing w:line="240" w:lineRule="auto"/>
        <w:jc w:val="both"/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</w:pPr>
      <w:r w:rsidRPr="008C2AFA"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  <w:t xml:space="preserve">The key challenges in oil and gas exploration in the Barents Sea </w:t>
      </w:r>
      <w:r w:rsidR="008C2AFA" w:rsidRPr="008C2AFA"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  <w:t>are</w:t>
      </w:r>
      <w:r w:rsidRPr="008C2AFA"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  <w:t xml:space="preserve"> related to the effect of this erosion and uplift</w:t>
      </w:r>
      <w:r w:rsidR="008C2AFA" w:rsidRPr="008C2AFA"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  <w:t>. More precisely, these effects are related</w:t>
      </w:r>
      <w:r w:rsidRPr="008C2AFA"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  <w:t xml:space="preserve"> </w:t>
      </w:r>
      <w:r w:rsidR="008C2AFA" w:rsidRPr="008C2AFA"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  <w:t>to the</w:t>
      </w:r>
      <w:r w:rsidRPr="008C2AFA"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  <w:t xml:space="preserve"> shut – off of hydrocarbon generation due to cooling of the source rocks, top seal and / or fault seal failure combined with</w:t>
      </w:r>
      <w:r w:rsidR="008C2AFA" w:rsidRPr="008C2AFA"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  <w:t xml:space="preserve"> a</w:t>
      </w:r>
      <w:r w:rsidRPr="008C2AFA"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  <w:t xml:space="preserve"> long retention time of hydrocarbons and change of hydrocarbon properties</w:t>
      </w:r>
      <w:r w:rsidR="008C2AFA" w:rsidRPr="008C2AFA"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  <w:t xml:space="preserve">. </w:t>
      </w:r>
      <w:r w:rsidR="00590203" w:rsidRPr="008C2AFA"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  <w:t>Timing is therefore crucial for guiding future exploration</w:t>
      </w:r>
      <w:r w:rsidR="008C2AFA" w:rsidRPr="008C2AFA"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  <w:t xml:space="preserve"> activities</w:t>
      </w:r>
      <w:r w:rsidR="00590203" w:rsidRPr="008C2AFA"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  <w:t xml:space="preserve"> in the study area.</w:t>
      </w:r>
      <w:r w:rsidR="00C37303"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  <w:t xml:space="preserve"> </w:t>
      </w:r>
    </w:p>
    <w:p w:rsidR="00CF7AC9" w:rsidRDefault="00ED2AD1" w:rsidP="00D412F2">
      <w:pPr>
        <w:spacing w:line="240" w:lineRule="auto"/>
        <w:jc w:val="both"/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</w:pPr>
      <w:r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  <w:t xml:space="preserve">The goal of this project is to combine geological projects based on seismic interpretation, shale compaction calculated from sonic logs, </w:t>
      </w:r>
      <w:proofErr w:type="spellStart"/>
      <w:r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  <w:t>vitrinite</w:t>
      </w:r>
      <w:proofErr w:type="spellEnd"/>
      <w:r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  <w:t xml:space="preserve"> reflectance data combined with rock physics models and porosity loss trends in order to estimate the amount of net erosion and the timing of the uplift.</w:t>
      </w:r>
      <w:r w:rsidR="00590203"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  <w:t xml:space="preserve"> </w:t>
      </w:r>
      <w:r w:rsidR="00CF7AC9" w:rsidRPr="00CF7AC9"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  <w:t>The ind</w:t>
      </w:r>
      <w:r w:rsidR="00CF7AC9"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  <w:t>ustrial partner North E&amp;P AS</w:t>
      </w:r>
      <w:r w:rsidR="00CF7AC9" w:rsidRPr="00CF7AC9"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  <w:t xml:space="preserve"> </w:t>
      </w:r>
      <w:r w:rsidR="00CF7AC9"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  <w:t>provided</w:t>
      </w:r>
      <w:r w:rsidR="00CF7AC9" w:rsidRPr="00CF7AC9"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  <w:t xml:space="preserve"> both supervision as well as the key data sets (well and seismic data) for the research</w:t>
      </w:r>
      <w:r w:rsidR="00CF7AC9"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  <w:t xml:space="preserve">. </w:t>
      </w:r>
    </w:p>
    <w:p w:rsidR="00A67BAF" w:rsidRDefault="00CF7AC9" w:rsidP="00D412F2">
      <w:pPr>
        <w:spacing w:line="240" w:lineRule="auto"/>
        <w:jc w:val="both"/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</w:pPr>
      <w:r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  <w:t xml:space="preserve">The </w:t>
      </w:r>
      <w:r w:rsidR="00ED2AD1"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  <w:t>main findings of this study</w:t>
      </w:r>
      <w:r w:rsidR="00EE5728"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  <w:t xml:space="preserve"> are summarized below</w:t>
      </w:r>
      <w:r w:rsidR="00ED2AD1"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  <w:t>:</w:t>
      </w:r>
    </w:p>
    <w:p w:rsidR="00D412F2" w:rsidRDefault="00A67BAF" w:rsidP="00D412F2">
      <w:pPr>
        <w:pStyle w:val="Listenabsatz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</w:pPr>
      <w:r w:rsidRPr="00A67BAF"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  <w:t xml:space="preserve">The study identified areas with missing sections and major erosion at several places along </w:t>
      </w:r>
      <w:r w:rsidR="00D412F2"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  <w:t xml:space="preserve">the </w:t>
      </w:r>
      <w:r w:rsidR="004652AD"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  <w:t xml:space="preserve">regional </w:t>
      </w:r>
      <w:r w:rsidR="00D412F2"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  <w:t>seismic interpreted profiles</w:t>
      </w:r>
      <w:r w:rsidRPr="00A67BAF"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  <w:t xml:space="preserve"> in the </w:t>
      </w:r>
      <w:r w:rsidR="00590203"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  <w:t xml:space="preserve">southwestern </w:t>
      </w:r>
      <w:r w:rsidR="00D412F2"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  <w:t>Norwegian</w:t>
      </w:r>
      <w:r w:rsidRPr="00A67BAF"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  <w:t xml:space="preserve"> Barents Sea.</w:t>
      </w:r>
      <w:r w:rsidR="00D412F2"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  <w:t xml:space="preserve"> </w:t>
      </w:r>
      <w:r w:rsidR="00D412F2" w:rsidRPr="008E597D"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  <w:t>(Figure 1)</w:t>
      </w:r>
    </w:p>
    <w:p w:rsidR="007A5E6B" w:rsidRDefault="00A67BAF" w:rsidP="00D412F2">
      <w:pPr>
        <w:pStyle w:val="Listenabsatz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</w:pPr>
      <w:r w:rsidRPr="00A67BAF"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  <w:t xml:space="preserve"> Normal Compaction Trend (NCT) models from the published literature were investigated in order to have a better understanding of the velocity constraints of a new NCT model from available well-log data. Based on velocity trends and interpretation of seismic data, a new NCT model including the Triassic section was applied at great depths and to areas that have been deeply eroded. The new NCT model is calibrated to the Upper Cretaceous </w:t>
      </w:r>
      <w:proofErr w:type="spellStart"/>
      <w:r w:rsidRPr="00A67BAF"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  <w:t>shales</w:t>
      </w:r>
      <w:proofErr w:type="spellEnd"/>
      <w:r w:rsidRPr="00A67BAF"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  <w:t xml:space="preserve"> in the </w:t>
      </w:r>
      <w:proofErr w:type="spellStart"/>
      <w:r w:rsidRPr="00A67BAF"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  <w:t>Haltenbanken</w:t>
      </w:r>
      <w:proofErr w:type="spellEnd"/>
      <w:r w:rsidRPr="00A67BAF"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  <w:t xml:space="preserve"> area, Mid-Norway and</w:t>
      </w:r>
      <w:r w:rsidR="00590203"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  <w:t xml:space="preserve"> the</w:t>
      </w:r>
      <w:r w:rsidRPr="00A67BAF"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  <w:t xml:space="preserve"> North Sea. The trend was then extended deeper into the Lower Jurassic-Triassic units </w:t>
      </w:r>
      <w:r w:rsidR="00973F6A"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  <w:t>of</w:t>
      </w:r>
      <w:r w:rsidRPr="00A67BAF"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  <w:t xml:space="preserve"> the Barents Sea</w:t>
      </w:r>
      <w:r w:rsidR="00151C81"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  <w:t xml:space="preserve"> subsurface</w:t>
      </w:r>
      <w:r w:rsidRPr="00A67BAF"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  <w:t xml:space="preserve">. </w:t>
      </w:r>
      <w:r w:rsidR="004652AD"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  <w:t xml:space="preserve">This </w:t>
      </w:r>
      <w:r w:rsidRPr="00A67BAF"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  <w:t xml:space="preserve">new NCT model gives a good estimation of net apparent erosion for each of the selected wells, consistent with geological observations. </w:t>
      </w:r>
    </w:p>
    <w:p w:rsidR="00D4691A" w:rsidRDefault="00590203" w:rsidP="00DA2FF3">
      <w:pPr>
        <w:pStyle w:val="Listenabsatz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</w:pPr>
      <w:r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  <w:t>A</w:t>
      </w:r>
      <w:r w:rsidR="00A67BAF" w:rsidRPr="00D4691A"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  <w:t xml:space="preserve"> new net erosion map was constructed for the SW Barents Sea</w:t>
      </w:r>
      <w:r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  <w:t xml:space="preserve"> based on 40 wells. </w:t>
      </w:r>
      <w:r w:rsidR="00A67BAF" w:rsidRPr="00D4691A"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  <w:t xml:space="preserve">The highest erosion estimates are observed towards Svalbard, with highs up to 2600 m. </w:t>
      </w:r>
      <w:r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  <w:t>Previous uplift maps for the w</w:t>
      </w:r>
      <w:r w:rsidR="00D4691A"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  <w:t xml:space="preserve">estern Barents Sea indicating a general trend of uplift and </w:t>
      </w:r>
      <w:r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  <w:t>net erosion increasing towards east and n</w:t>
      </w:r>
      <w:r w:rsidR="00D4691A"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  <w:t>orth. (Figure 2)</w:t>
      </w:r>
    </w:p>
    <w:p w:rsidR="00A67BAF" w:rsidRPr="00D4691A" w:rsidRDefault="00A67BAF" w:rsidP="00DA2FF3">
      <w:pPr>
        <w:pStyle w:val="Listenabsatz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</w:pPr>
      <w:r w:rsidRPr="00D4691A"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  <w:t xml:space="preserve">The results from different areas will also help us to understand the rock physical </w:t>
      </w:r>
      <w:proofErr w:type="spellStart"/>
      <w:r w:rsidRPr="00D4691A"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  <w:t>behavio</w:t>
      </w:r>
      <w:r w:rsidR="00973F6A"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  <w:t>u</w:t>
      </w:r>
      <w:r w:rsidRPr="00D4691A"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  <w:t>r</w:t>
      </w:r>
      <w:proofErr w:type="spellEnd"/>
      <w:r w:rsidRPr="00D4691A"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  <w:t xml:space="preserve"> of different </w:t>
      </w:r>
      <w:proofErr w:type="spellStart"/>
      <w:r w:rsidRPr="00D4691A"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  <w:t>lithologies</w:t>
      </w:r>
      <w:proofErr w:type="spellEnd"/>
      <w:r w:rsidRPr="00D4691A"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  <w:t xml:space="preserve"> and will be a useful input for </w:t>
      </w:r>
      <w:r w:rsidR="00F6025E" w:rsidRPr="00D4691A"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  <w:t>the on-going</w:t>
      </w:r>
      <w:r w:rsidRPr="00D4691A"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  <w:t xml:space="preserve"> studies in velocity inversion and modelling of the petroleum systems in the eroded areas.</w:t>
      </w:r>
      <w:r w:rsidR="00E86A9E" w:rsidRPr="00D4691A"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  <w:t xml:space="preserve"> </w:t>
      </w:r>
      <w:r w:rsidR="00590203"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  <w:t xml:space="preserve">The </w:t>
      </w:r>
      <w:r w:rsidR="00E86A9E" w:rsidRPr="00D4691A"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  <w:t>findings will</w:t>
      </w:r>
      <w:r w:rsidR="00590203"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  <w:t xml:space="preserve"> further </w:t>
      </w:r>
      <w:r w:rsidR="00E86A9E" w:rsidRPr="00D4691A"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  <w:t>serve as input to the overall understanding of primary hydrocarbon migration models, secondary migration following fill-spill and finally to a qualified estimate of seal potential of identified traps in the Barents sea.</w:t>
      </w:r>
      <w:r w:rsidR="00F6025E" w:rsidRPr="00D4691A">
        <w:rPr>
          <w:rFonts w:ascii="Times New Roman" w:hAnsi="Times New Roman" w:cs="Times New Roman"/>
          <w:spacing w:val="-1"/>
          <w:position w:val="10"/>
          <w:sz w:val="24"/>
          <w:szCs w:val="24"/>
          <w:lang w:val="en-US"/>
        </w:rPr>
        <w:t xml:space="preserve"> </w:t>
      </w:r>
    </w:p>
    <w:p w:rsidR="001957A1" w:rsidRDefault="001957A1" w:rsidP="0026033E">
      <w:pPr>
        <w:keepNext/>
        <w:jc w:val="center"/>
      </w:pPr>
      <w:r w:rsidRPr="001957A1">
        <w:rPr>
          <w:noProof/>
          <w:lang w:val="de-CH" w:eastAsia="de-CH"/>
        </w:rPr>
        <w:lastRenderedPageBreak/>
        <w:drawing>
          <wp:inline distT="0" distB="0" distL="0" distR="0" wp14:anchorId="03B24219" wp14:editId="689E6C8E">
            <wp:extent cx="5724525" cy="3574178"/>
            <wp:effectExtent l="0" t="0" r="0" b="7620"/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25" cy="357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2F2" w:rsidRPr="008E597D" w:rsidRDefault="001957A1" w:rsidP="00E86A9E">
      <w:pPr>
        <w:pStyle w:val="Beschriftung"/>
        <w:jc w:val="both"/>
        <w:rPr>
          <w:rFonts w:ascii="Times New Roman" w:hAnsi="Times New Roman" w:cs="Times New Roman"/>
          <w:i w:val="0"/>
          <w:sz w:val="22"/>
          <w:szCs w:val="22"/>
          <w:lang w:val="en-US"/>
        </w:rPr>
      </w:pPr>
      <w:r w:rsidRPr="008E597D">
        <w:rPr>
          <w:rFonts w:ascii="Times New Roman" w:hAnsi="Times New Roman" w:cs="Times New Roman"/>
          <w:i w:val="0"/>
          <w:sz w:val="22"/>
          <w:szCs w:val="22"/>
          <w:lang w:val="en-US"/>
        </w:rPr>
        <w:t>Figure 1. Map of the Norwegian Barents Sea showing the different structural ele</w:t>
      </w:r>
      <w:r w:rsidR="00E86A9E" w:rsidRPr="008E597D">
        <w:rPr>
          <w:rFonts w:ascii="Times New Roman" w:hAnsi="Times New Roman" w:cs="Times New Roman"/>
          <w:i w:val="0"/>
          <w:sz w:val="22"/>
          <w:szCs w:val="22"/>
          <w:lang w:val="en-US"/>
        </w:rPr>
        <w:t xml:space="preserve">ments and oil-gas discoveries. </w:t>
      </w:r>
      <w:r w:rsidRPr="008E597D">
        <w:rPr>
          <w:rFonts w:ascii="Times New Roman" w:hAnsi="Times New Roman" w:cs="Times New Roman"/>
          <w:i w:val="0"/>
          <w:sz w:val="22"/>
          <w:szCs w:val="22"/>
          <w:lang w:val="en-US"/>
        </w:rPr>
        <w:t xml:space="preserve">The </w:t>
      </w:r>
      <w:r w:rsidR="00E86A9E" w:rsidRPr="008E597D">
        <w:rPr>
          <w:rFonts w:ascii="Times New Roman" w:hAnsi="Times New Roman" w:cs="Times New Roman"/>
          <w:i w:val="0"/>
          <w:sz w:val="22"/>
          <w:szCs w:val="22"/>
          <w:lang w:val="en-US"/>
        </w:rPr>
        <w:t xml:space="preserve">available regional seismic </w:t>
      </w:r>
      <w:r w:rsidRPr="008E597D">
        <w:rPr>
          <w:rFonts w:ascii="Times New Roman" w:hAnsi="Times New Roman" w:cs="Times New Roman"/>
          <w:i w:val="0"/>
          <w:sz w:val="22"/>
          <w:szCs w:val="22"/>
          <w:lang w:val="en-US"/>
        </w:rPr>
        <w:t xml:space="preserve">profiles A-A’, B-B’, C-C’ and the provided wells along the lines are indicated with a red </w:t>
      </w:r>
      <w:proofErr w:type="spellStart"/>
      <w:r w:rsidRPr="008E597D">
        <w:rPr>
          <w:rFonts w:ascii="Times New Roman" w:hAnsi="Times New Roman" w:cs="Times New Roman"/>
          <w:i w:val="0"/>
          <w:sz w:val="22"/>
          <w:szCs w:val="22"/>
          <w:lang w:val="en-US"/>
        </w:rPr>
        <w:t>colo</w:t>
      </w:r>
      <w:r w:rsidR="00973F6A" w:rsidRPr="008E597D">
        <w:rPr>
          <w:rFonts w:ascii="Times New Roman" w:hAnsi="Times New Roman" w:cs="Times New Roman"/>
          <w:i w:val="0"/>
          <w:sz w:val="22"/>
          <w:szCs w:val="22"/>
          <w:lang w:val="en-US"/>
        </w:rPr>
        <w:t>u</w:t>
      </w:r>
      <w:r w:rsidRPr="008E597D">
        <w:rPr>
          <w:rFonts w:ascii="Times New Roman" w:hAnsi="Times New Roman" w:cs="Times New Roman"/>
          <w:i w:val="0"/>
          <w:sz w:val="22"/>
          <w:szCs w:val="22"/>
          <w:lang w:val="en-US"/>
        </w:rPr>
        <w:t>r</w:t>
      </w:r>
      <w:proofErr w:type="spellEnd"/>
      <w:r w:rsidRPr="008E597D">
        <w:rPr>
          <w:rFonts w:ascii="Times New Roman" w:hAnsi="Times New Roman" w:cs="Times New Roman"/>
          <w:i w:val="0"/>
          <w:sz w:val="22"/>
          <w:szCs w:val="22"/>
          <w:lang w:val="en-US"/>
        </w:rPr>
        <w:t xml:space="preserve"> and red dots</w:t>
      </w:r>
      <w:r w:rsidR="00973F6A" w:rsidRPr="008E597D">
        <w:rPr>
          <w:rFonts w:ascii="Times New Roman" w:hAnsi="Times New Roman" w:cs="Times New Roman"/>
          <w:i w:val="0"/>
          <w:sz w:val="22"/>
          <w:szCs w:val="22"/>
          <w:lang w:val="en-US"/>
        </w:rPr>
        <w:t>, respectively</w:t>
      </w:r>
      <w:r w:rsidRPr="008E597D">
        <w:rPr>
          <w:rFonts w:ascii="Times New Roman" w:hAnsi="Times New Roman" w:cs="Times New Roman"/>
          <w:i w:val="0"/>
          <w:sz w:val="22"/>
          <w:szCs w:val="22"/>
          <w:lang w:val="en-US"/>
        </w:rPr>
        <w:t>. The location of the study area is i</w:t>
      </w:r>
      <w:r w:rsidR="00E86A9E" w:rsidRPr="008E597D">
        <w:rPr>
          <w:rFonts w:ascii="Times New Roman" w:hAnsi="Times New Roman" w:cs="Times New Roman"/>
          <w:i w:val="0"/>
          <w:sz w:val="22"/>
          <w:szCs w:val="22"/>
          <w:lang w:val="en-US"/>
        </w:rPr>
        <w:t>ndicated in the inserted figure (Modified from the Norwegian Petroleum Directorate, NPD</w:t>
      </w:r>
      <w:r w:rsidR="00973F6A" w:rsidRPr="008E597D">
        <w:rPr>
          <w:rFonts w:ascii="Times New Roman" w:hAnsi="Times New Roman" w:cs="Times New Roman"/>
          <w:i w:val="0"/>
          <w:sz w:val="22"/>
          <w:szCs w:val="22"/>
          <w:lang w:val="en-US"/>
        </w:rPr>
        <w:t>,</w:t>
      </w:r>
      <w:r w:rsidR="00E86A9E" w:rsidRPr="008E597D">
        <w:rPr>
          <w:rFonts w:ascii="Times New Roman" w:hAnsi="Times New Roman" w:cs="Times New Roman"/>
          <w:i w:val="0"/>
          <w:sz w:val="22"/>
          <w:szCs w:val="22"/>
          <w:lang w:val="en-US"/>
        </w:rPr>
        <w:t xml:space="preserve"> </w:t>
      </w:r>
      <w:proofErr w:type="spellStart"/>
      <w:r w:rsidR="00E86A9E" w:rsidRPr="008E597D">
        <w:rPr>
          <w:rFonts w:ascii="Times New Roman" w:hAnsi="Times New Roman" w:cs="Times New Roman"/>
          <w:i w:val="0"/>
          <w:sz w:val="22"/>
          <w:szCs w:val="22"/>
          <w:lang w:val="en-US"/>
        </w:rPr>
        <w:t>Jakobsson</w:t>
      </w:r>
      <w:proofErr w:type="spellEnd"/>
      <w:r w:rsidR="00E86A9E" w:rsidRPr="008E597D">
        <w:rPr>
          <w:rFonts w:ascii="Times New Roman" w:hAnsi="Times New Roman" w:cs="Times New Roman"/>
          <w:i w:val="0"/>
          <w:sz w:val="22"/>
          <w:szCs w:val="22"/>
          <w:lang w:val="en-US"/>
        </w:rPr>
        <w:t xml:space="preserve"> et al., 2008</w:t>
      </w:r>
      <w:r w:rsidR="00973F6A" w:rsidRPr="008E597D">
        <w:rPr>
          <w:rFonts w:ascii="Times New Roman" w:hAnsi="Times New Roman" w:cs="Times New Roman"/>
          <w:i w:val="0"/>
          <w:sz w:val="22"/>
          <w:szCs w:val="22"/>
          <w:lang w:val="en-US"/>
        </w:rPr>
        <w:t xml:space="preserve"> and Ktenas et al., in preparation</w:t>
      </w:r>
      <w:r w:rsidR="00F62B47" w:rsidRPr="008E597D">
        <w:rPr>
          <w:rFonts w:ascii="Times New Roman" w:hAnsi="Times New Roman" w:cs="Times New Roman"/>
          <w:i w:val="0"/>
          <w:sz w:val="22"/>
          <w:szCs w:val="22"/>
          <w:lang w:val="en-US"/>
        </w:rPr>
        <w:t>)</w:t>
      </w:r>
      <w:r w:rsidR="00FA79C2" w:rsidRPr="008E597D">
        <w:rPr>
          <w:rFonts w:ascii="Times New Roman" w:hAnsi="Times New Roman" w:cs="Times New Roman"/>
          <w:i w:val="0"/>
          <w:sz w:val="22"/>
          <w:szCs w:val="22"/>
          <w:lang w:val="en-US"/>
        </w:rPr>
        <w:t xml:space="preserve"> </w:t>
      </w:r>
    </w:p>
    <w:p w:rsidR="00074DF1" w:rsidRDefault="00D4691A" w:rsidP="00074DF1">
      <w:pPr>
        <w:keepNext/>
        <w:jc w:val="center"/>
      </w:pPr>
      <w:r>
        <w:rPr>
          <w:noProof/>
          <w:lang w:val="de-CH" w:eastAsia="de-CH"/>
        </w:rPr>
        <w:drawing>
          <wp:inline distT="0" distB="0" distL="0" distR="0" wp14:anchorId="75D8907F" wp14:editId="102C4AB5">
            <wp:extent cx="5760720" cy="3149600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DF1" w:rsidRPr="00973F6A" w:rsidRDefault="00074DF1" w:rsidP="00074DF1">
      <w:pPr>
        <w:pStyle w:val="Beschriftung"/>
        <w:rPr>
          <w:rFonts w:ascii="Times New Roman" w:hAnsi="Times New Roman" w:cs="Times New Roman"/>
          <w:i w:val="0"/>
          <w:sz w:val="22"/>
          <w:szCs w:val="22"/>
          <w:lang w:val="en-US"/>
        </w:rPr>
      </w:pPr>
      <w:r w:rsidRPr="00973F6A">
        <w:rPr>
          <w:rFonts w:ascii="Times New Roman" w:hAnsi="Times New Roman" w:cs="Times New Roman"/>
          <w:i w:val="0"/>
          <w:sz w:val="22"/>
          <w:szCs w:val="22"/>
          <w:lang w:val="en-US"/>
        </w:rPr>
        <w:t xml:space="preserve">Figure 2. Previous uplift and net erosion maps for the Norwegian Barents Sea indicating a general trend of uplift and net </w:t>
      </w:r>
      <w:r w:rsidR="001D7D2A">
        <w:rPr>
          <w:rFonts w:ascii="Times New Roman" w:hAnsi="Times New Roman" w:cs="Times New Roman"/>
          <w:i w:val="0"/>
          <w:sz w:val="22"/>
          <w:szCs w:val="22"/>
          <w:lang w:val="en-US"/>
        </w:rPr>
        <w:t>erosion increasing towards the east and n</w:t>
      </w:r>
      <w:r w:rsidRPr="00973F6A">
        <w:rPr>
          <w:rFonts w:ascii="Times New Roman" w:hAnsi="Times New Roman" w:cs="Times New Roman"/>
          <w:i w:val="0"/>
          <w:sz w:val="22"/>
          <w:szCs w:val="22"/>
          <w:lang w:val="en-US"/>
        </w:rPr>
        <w:t xml:space="preserve">orth. In some areas there are rather large differences in the estimates. </w:t>
      </w:r>
      <w:r w:rsidR="00973F6A" w:rsidRPr="00973F6A">
        <w:rPr>
          <w:rFonts w:ascii="Times New Roman" w:hAnsi="Times New Roman" w:cs="Times New Roman"/>
          <w:i w:val="0"/>
          <w:sz w:val="22"/>
          <w:szCs w:val="22"/>
          <w:lang w:val="en-US"/>
        </w:rPr>
        <w:t>(Modified from Ktenas et al., in preparation)</w:t>
      </w:r>
    </w:p>
    <w:p w:rsidR="00F62B47" w:rsidRDefault="00F62B47" w:rsidP="0026033E">
      <w:pPr>
        <w:pStyle w:val="Beschriftung"/>
        <w:jc w:val="center"/>
        <w:rPr>
          <w:lang w:val="en-US"/>
        </w:rPr>
      </w:pPr>
    </w:p>
    <w:sectPr w:rsidR="00F62B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6A3BDE"/>
    <w:multiLevelType w:val="hybridMultilevel"/>
    <w:tmpl w:val="C638D7D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C22118"/>
    <w:multiLevelType w:val="hybridMultilevel"/>
    <w:tmpl w:val="AD8C798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6BD"/>
    <w:rsid w:val="000451A6"/>
    <w:rsid w:val="00074DF1"/>
    <w:rsid w:val="00077987"/>
    <w:rsid w:val="00151C81"/>
    <w:rsid w:val="0015578A"/>
    <w:rsid w:val="001957A1"/>
    <w:rsid w:val="001D7D2A"/>
    <w:rsid w:val="0026033E"/>
    <w:rsid w:val="002D024F"/>
    <w:rsid w:val="004652AD"/>
    <w:rsid w:val="00590203"/>
    <w:rsid w:val="007A5E6B"/>
    <w:rsid w:val="007B06BD"/>
    <w:rsid w:val="008808B9"/>
    <w:rsid w:val="008C2AEF"/>
    <w:rsid w:val="008C2AFA"/>
    <w:rsid w:val="008E597D"/>
    <w:rsid w:val="008F6747"/>
    <w:rsid w:val="00973F6A"/>
    <w:rsid w:val="009A6482"/>
    <w:rsid w:val="00A67BAF"/>
    <w:rsid w:val="00B45AE8"/>
    <w:rsid w:val="00B547E3"/>
    <w:rsid w:val="00C02B1E"/>
    <w:rsid w:val="00C37303"/>
    <w:rsid w:val="00C47BA9"/>
    <w:rsid w:val="00C57A0E"/>
    <w:rsid w:val="00CF7AC9"/>
    <w:rsid w:val="00D412F2"/>
    <w:rsid w:val="00D4691A"/>
    <w:rsid w:val="00DA7F5E"/>
    <w:rsid w:val="00E86A9E"/>
    <w:rsid w:val="00ED2AD1"/>
    <w:rsid w:val="00EE5728"/>
    <w:rsid w:val="00F45408"/>
    <w:rsid w:val="00F506D9"/>
    <w:rsid w:val="00F6025E"/>
    <w:rsid w:val="00F62B47"/>
    <w:rsid w:val="00F90FA8"/>
    <w:rsid w:val="00FA7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67BA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A67BAF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1957A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90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90F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67BA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A67BAF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1957A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90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90F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471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6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63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962478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121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011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518</Words>
  <Characters>3269</Characters>
  <Application>Microsoft Office Word</Application>
  <DocSecurity>0</DocSecurity>
  <Lines>27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Dimitrios Ktenas</dc:creator>
  <cp:lastModifiedBy>Benjamin</cp:lastModifiedBy>
  <cp:revision>2</cp:revision>
  <dcterms:created xsi:type="dcterms:W3CDTF">2017-02-14T15:38:00Z</dcterms:created>
  <dcterms:modified xsi:type="dcterms:W3CDTF">2017-02-14T15:38:00Z</dcterms:modified>
</cp:coreProperties>
</file>